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b/>
          <w:bCs/>
          <w:color w:val="000066"/>
        </w:rPr>
        <w:t>Немного</w:t>
      </w: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 из истории…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В 1931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году по инициативе нескольких государств французский генерал медицинской службы </w:t>
      </w: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 xml:space="preserve">Жорж </w:t>
      </w:r>
      <w:proofErr w:type="spellStart"/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Сен-Поль</w:t>
      </w:r>
      <w:proofErr w:type="spellEnd"/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 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Впоследствии Ассоциация была преобразована в Международную организацию гражданской обороны (МОГО). В 1972 году МОГО получила статус межправительственной организации. В настоящее время в МОГО входят </w:t>
      </w: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50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стран, еще </w:t>
      </w: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16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государств имеют статус наблюдателя.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Всемирный день гражданской обороны, установленный в 1990 году, отмечается в странах — членах МОГО — с целью пропаганды знаний о гражданской обороне и поднятия престижа национальных служб спасения. День 1 марта выбран не случайно. Именно в этот день вступил в силу Устав МОГО, который одобрили 18 государств.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Российская Федерация является членом МОГО с июня 1993 года.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Представлять Россию в этой международной организации распоряжением Правительства Российской Федерации от 22 февраля 1993 года поручено Министерству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МЧС России активно участвует в международной деятельности МОГО. В этих целях развивается региональный учебный центр МОГО на базе Академии гражданской защиты МЧС России, разрабатываются и реализуются соглашения между МЧС России и МОГО по ряду конкретных проблем сотрудничества и предоставлению возмездных и безвозмездных услуг.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Сегодня Международная организация гражданской обороны также оказывает содействие МЧС России в продвижении инициатив в области развития международного сотрудничества. Так, МОГО активно распространяет и пропагандирует передовые российские разработки и технологии в области авиационного пожаротушения, гуманитарного разминирования, медицины катастроф и спасательной кинологии.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Основными задачами ГО является: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lastRenderedPageBreak/>
        <w:t>-        Защитить население от последствий ЧС (стихийных бедствий, природных катаклизмов, пожаров, аварий и т.д.);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-        Разработать меры по возможному прогнозированию и предотвращению ЧС;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-        Оповестить население о ЧС и мерах устранения их последствий;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-        Организовывать и проводить работы по ликвидации всех последствий ЧС;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-        Накопление и обмен опытом решения проблем, связанных с ЧС;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-        Ознакомить население с правилами безопасной жизнедеятельности.</w:t>
      </w:r>
    </w:p>
    <w:p w:rsidR="0032461A" w:rsidRPr="0032461A" w:rsidRDefault="0032461A" w:rsidP="0032461A">
      <w:pPr>
        <w:spacing w:after="0" w:line="302" w:lineRule="atLeast"/>
        <w:ind w:right="90"/>
        <w:jc w:val="center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66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8572500" cy="6286500"/>
            <wp:effectExtent l="19050" t="0" r="0" b="0"/>
            <wp:docPr id="1" name="Рисунок 1" descr="https://mdou5-prs.edu.yar.ru/plakat_grazhdanskaya_ob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-prs.edu.yar.ru/plakat_grazhdanskaya_obor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1A" w:rsidRPr="0032461A" w:rsidRDefault="0032461A" w:rsidP="0032461A">
      <w:pPr>
        <w:spacing w:before="180" w:after="0" w:line="302" w:lineRule="atLeast"/>
        <w:ind w:right="90"/>
        <w:jc w:val="center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8583930" cy="6092190"/>
            <wp:effectExtent l="19050" t="0" r="7620" b="0"/>
            <wp:docPr id="2" name="Рисунок 2" descr="vnimanie_v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imanie_vs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93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      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Чрезвычайные ситуации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 период угрозы возникновения ЧС, должен быть в максимальной мере использован для предотвращения ЧС или уменьшения возможного ущерба. С этой целью, учреждение также переводится в соответствующий режим функционирования: в режим повышенной готовности или в режим чрезвычайной ситуации.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     Гражданская оборона детского сада является составной частью системы общегосударственных оборонных мероприятий, осуществляемых в целях защиты постоянного состава и воспитанников детского сада. Выполнение обязанностей по ГО и ЧС входит в обязанности должностных лиц, определенных приказом начальника ГО детского сада.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     Начальником ГО является заведующий детским садом, он осуществляет руководство непосредственно через своих заместителей, штаб и командиров формирований ГО и ЧС, создаваемых в детском саду, а также через педагогический состав. На должность начальника штаба по делам ГО и ЧС назначено лицо, имеющее соответствующую подготовку. Он является основным организатором работы по вопросам ГО, предупреждения и ликвидации последствий ЧС ГО в детском саду, рассматривается в качестве воинской оборонной и социальной задачи педагогического коллектива. При подведении итогов работы за год учитывается состояние дел по планированию и выполнению мероприятий ГО, по обучению постоянного состава, наличию и состоянию коллективных и индивидуальных средств защиты, степени устойчивости в военное время и при возникновении ЧС в мирное время.</w:t>
      </w:r>
    </w:p>
    <w:p w:rsidR="0032461A" w:rsidRPr="0032461A" w:rsidRDefault="0032461A" w:rsidP="0032461A">
      <w:pPr>
        <w:spacing w:after="0" w:line="240" w:lineRule="auto"/>
        <w:ind w:right="90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b/>
          <w:bCs/>
          <w:color w:val="990000"/>
          <w:sz w:val="25"/>
        </w:rPr>
        <w:t>ОСНОВНЫЕ ЗАДАЧИ ПО ГО И ЧС В ДЕТСКОМ САДУ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Основными задачами ГО и ЧС являются: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1.   Защита постоянного состава и воспитанников в период их пребывания в детском саду при возникновении ЧС в мирное время, а также при угрозе нападения и при возникновении очагов поражения в военное время.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2.   Создание, подготовка и поддержание в постоянной готовности невоенизированных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3.    Создание и поддержание в готовности средств оповещения и связи, оповещение постоянного состава и воспитанников и доведение до них требований штаба ГО и ЧС  управления образования по обстановке.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b/>
          <w:bCs/>
          <w:color w:val="000066"/>
          <w:sz w:val="25"/>
        </w:rPr>
        <w:t>Выполнение задач ГО и ЧС достигается: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lastRenderedPageBreak/>
        <w:t>1.   Заблаговременным планированием мероприятий по ГО и ЧС.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2.   Целенаправленной подготовкой должностных лиц детского сада к выполнению своих функциональных обязанностей в различной обстановке.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3.    Проведением тренировок по практической отработке приемов и способов защиты постоянного состава и воспитанников.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4.    Планированием бюджетных ассигнований на приобретение имущества ГО, учебных и наглядных пособий.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5.    Постоянным совершенствованием ГО, периодическим заслушиванием должностных лиц по делам ГО и ЧС о состоянии доверенного ему участка работы.</w:t>
      </w:r>
    </w:p>
    <w:p w:rsidR="0032461A" w:rsidRPr="0032461A" w:rsidRDefault="0032461A" w:rsidP="0032461A">
      <w:pPr>
        <w:spacing w:after="0" w:line="302" w:lineRule="atLeast"/>
        <w:ind w:right="90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      Объектовое звено гражданской обороны может переводиться на военное положение планомерно или в условиях внезапного нападения вероятного противника.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      При проведении экстренной эвакуации детей и персонала из опасной зоны привлекается весь имеющийся в наличии личный автотранспорт сотрудников образовательного учреждения. Сотрудники образовательного учреждения, имеющие личный автотранспорт, должны беспрекословно представлять его в распоряжение  администрации для осуществления экстренной эвакуации воспитанников и сотрудников из опасной зоны.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 xml:space="preserve">      В случае выявления на территории образовательного учреждения или вблизи опасности распространения особо опасных инфекционных заболеваний все сотрудники обязаны строго выполнять требования </w:t>
      </w:r>
      <w:proofErr w:type="spellStart"/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Роспотребнадзора</w:t>
      </w:r>
      <w:proofErr w:type="spellEnd"/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 xml:space="preserve"> по проведению экстренной профилактики и иммунизации, соблюдать режим, предотвращающий занос и распространение инфекции.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>      Все сотрудники образовательного учреждения должны принимать меры по сохранению материальных ценностей при угрозе или возникновении ЧС. В период поведения мероприятий по защите от ЧС или их ликвидации должны приниматься меры по предотвращению или уменьшению возможного материального ущерба образовательному учреждению, по охране имущества и оборудования</w:t>
      </w:r>
    </w:p>
    <w:p w:rsidR="0032461A" w:rsidRPr="0032461A" w:rsidRDefault="0032461A" w:rsidP="0032461A">
      <w:pPr>
        <w:spacing w:after="0" w:line="302" w:lineRule="atLeast"/>
        <w:ind w:right="90"/>
        <w:jc w:val="both"/>
        <w:textAlignment w:val="baseline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t xml:space="preserve">      Планирование мероприятий в области ГО, предупреждения и ликвидации ЧС проводятся заблаговременно. Весь персонал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 которые могут вызвать угрозу жизни и здоровью персонала (переменного состава: детей и посетителей). За невыполнение требований  инструкций по вопросам предупреждения ЧС, защиты </w:t>
      </w:r>
      <w:r w:rsidRPr="0032461A">
        <w:rPr>
          <w:rFonts w:ascii="Verdana" w:eastAsia="Times New Roman" w:hAnsi="Verdana" w:cs="Times New Roman"/>
          <w:color w:val="000066"/>
          <w:sz w:val="25"/>
          <w:szCs w:val="25"/>
          <w:bdr w:val="none" w:sz="0" w:space="0" w:color="auto" w:frame="1"/>
        </w:rPr>
        <w:lastRenderedPageBreak/>
        <w:t>персонала, детей и посетителей, а также материальных ценностей от ЧС работники учреждения могут привлекаться к материальной и административной ответственности вплоть до увольнения с работы. </w:t>
      </w:r>
    </w:p>
    <w:p w:rsidR="001A1989" w:rsidRDefault="001A1989"/>
    <w:sectPr w:rsidR="001A1989" w:rsidSect="00324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61A"/>
    <w:rsid w:val="001A1989"/>
    <w:rsid w:val="0032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4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6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6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1149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2021-12-02T11:43:00Z</dcterms:created>
  <dcterms:modified xsi:type="dcterms:W3CDTF">2021-12-02T11:52:00Z</dcterms:modified>
</cp:coreProperties>
</file>